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7C" w:rsidRDefault="008E767C" w:rsidP="0070239C">
      <w:pPr>
        <w:autoSpaceDE w:val="0"/>
        <w:autoSpaceDN w:val="0"/>
        <w:adjustRightInd w:val="0"/>
        <w:jc w:val="center"/>
        <w:outlineLvl w:val="0"/>
        <w:rPr>
          <w:rFonts w:asciiTheme="minorHAnsi" w:hAnsiTheme="minorHAnsi" w:cs="Melior"/>
          <w:b/>
          <w:color w:val="000000"/>
          <w:sz w:val="36"/>
          <w:szCs w:val="36"/>
          <w:u w:val="single"/>
        </w:rPr>
      </w:pPr>
      <w:bookmarkStart w:id="0" w:name="_GoBack"/>
      <w:bookmarkEnd w:id="0"/>
    </w:p>
    <w:p w:rsidR="008E767C" w:rsidRDefault="008E767C" w:rsidP="0070239C">
      <w:pPr>
        <w:autoSpaceDE w:val="0"/>
        <w:autoSpaceDN w:val="0"/>
        <w:adjustRightInd w:val="0"/>
        <w:jc w:val="center"/>
        <w:outlineLvl w:val="0"/>
        <w:rPr>
          <w:rFonts w:asciiTheme="minorHAnsi" w:hAnsiTheme="minorHAnsi" w:cs="Melior"/>
          <w:b/>
          <w:color w:val="000000"/>
          <w:sz w:val="36"/>
          <w:szCs w:val="36"/>
          <w:u w:val="single"/>
        </w:rPr>
      </w:pPr>
    </w:p>
    <w:p w:rsidR="008E767C" w:rsidRDefault="008E767C" w:rsidP="0070239C">
      <w:pPr>
        <w:autoSpaceDE w:val="0"/>
        <w:autoSpaceDN w:val="0"/>
        <w:adjustRightInd w:val="0"/>
        <w:jc w:val="center"/>
        <w:outlineLvl w:val="0"/>
        <w:rPr>
          <w:rFonts w:asciiTheme="minorHAnsi" w:hAnsiTheme="minorHAnsi" w:cs="Melior"/>
          <w:b/>
          <w:color w:val="000000"/>
          <w:sz w:val="36"/>
          <w:szCs w:val="36"/>
          <w:u w:val="single"/>
        </w:rPr>
      </w:pPr>
    </w:p>
    <w:p w:rsidR="00811DDD" w:rsidRPr="00B54C3C" w:rsidRDefault="00811DDD" w:rsidP="0070239C">
      <w:pPr>
        <w:autoSpaceDE w:val="0"/>
        <w:autoSpaceDN w:val="0"/>
        <w:adjustRightInd w:val="0"/>
        <w:jc w:val="center"/>
        <w:outlineLvl w:val="0"/>
        <w:rPr>
          <w:rFonts w:asciiTheme="minorHAnsi" w:hAnsiTheme="minorHAnsi" w:cs="Melior"/>
          <w:b/>
          <w:color w:val="000000"/>
          <w:sz w:val="36"/>
          <w:szCs w:val="36"/>
          <w:u w:val="single"/>
        </w:rPr>
      </w:pPr>
      <w:r w:rsidRPr="00B54C3C">
        <w:rPr>
          <w:rFonts w:asciiTheme="minorHAnsi" w:hAnsiTheme="minorHAnsi" w:cs="Melior"/>
          <w:b/>
          <w:color w:val="000000"/>
          <w:sz w:val="36"/>
          <w:szCs w:val="36"/>
          <w:u w:val="single"/>
        </w:rPr>
        <w:t>Dependent Coverage to Age 26</w:t>
      </w:r>
    </w:p>
    <w:p w:rsidR="00811DDD" w:rsidRPr="00B54C3C" w:rsidRDefault="00811DDD" w:rsidP="00677AE9">
      <w:pPr>
        <w:autoSpaceDE w:val="0"/>
        <w:autoSpaceDN w:val="0"/>
        <w:adjustRightInd w:val="0"/>
        <w:rPr>
          <w:rFonts w:asciiTheme="minorHAnsi" w:hAnsiTheme="minorHAnsi" w:cs="Melior"/>
          <w:color w:val="000000"/>
          <w:sz w:val="36"/>
          <w:szCs w:val="36"/>
        </w:rPr>
      </w:pPr>
    </w:p>
    <w:p w:rsidR="00B54C3C" w:rsidRDefault="00B54C3C" w:rsidP="00B54C3C">
      <w:pPr>
        <w:autoSpaceDE w:val="0"/>
        <w:autoSpaceDN w:val="0"/>
        <w:adjustRightInd w:val="0"/>
        <w:rPr>
          <w:rFonts w:asciiTheme="minorHAnsi" w:hAnsiTheme="minorHAnsi" w:cs="Melior"/>
          <w:szCs w:val="16"/>
        </w:rPr>
      </w:pPr>
    </w:p>
    <w:p w:rsidR="00B54C3C" w:rsidRPr="00B54C3C" w:rsidRDefault="00B54C3C" w:rsidP="00B54C3C">
      <w:pPr>
        <w:autoSpaceDE w:val="0"/>
        <w:autoSpaceDN w:val="0"/>
        <w:adjustRightInd w:val="0"/>
        <w:jc w:val="center"/>
        <w:rPr>
          <w:rFonts w:asciiTheme="minorHAnsi" w:hAnsiTheme="minorHAnsi" w:cs="Melior"/>
          <w:sz w:val="36"/>
          <w:szCs w:val="36"/>
        </w:rPr>
      </w:pPr>
    </w:p>
    <w:p w:rsidR="00B54C3C" w:rsidRDefault="00B54C3C" w:rsidP="00B54C3C">
      <w:pPr>
        <w:autoSpaceDE w:val="0"/>
        <w:autoSpaceDN w:val="0"/>
        <w:adjustRightInd w:val="0"/>
        <w:jc w:val="center"/>
        <w:rPr>
          <w:rFonts w:asciiTheme="minorHAnsi" w:eastAsia="DeVinne-Italic" w:hAnsiTheme="minorHAnsi"/>
          <w:iCs/>
          <w:sz w:val="36"/>
          <w:szCs w:val="36"/>
        </w:rPr>
      </w:pPr>
      <w:r w:rsidRPr="00B54C3C">
        <w:rPr>
          <w:rFonts w:asciiTheme="minorHAnsi" w:hAnsiTheme="minorHAnsi" w:cs="Melior"/>
          <w:sz w:val="36"/>
          <w:szCs w:val="36"/>
        </w:rPr>
        <w:t>Individuals whose coverage ended, or who were denied coverage (or were not eligible for coverage), because the availability of dependent coverage of children ended before attainment of age 26 are eligible to enroll in</w:t>
      </w:r>
      <w:r w:rsidRPr="00B54C3C">
        <w:rPr>
          <w:rFonts w:asciiTheme="minorHAnsi" w:eastAsia="DeVinne-Italic" w:hAnsiTheme="minorHAnsi"/>
          <w:iCs/>
          <w:sz w:val="36"/>
          <w:szCs w:val="36"/>
        </w:rPr>
        <w:t xml:space="preserve"> </w:t>
      </w:r>
      <w:r w:rsidR="00E440E7">
        <w:rPr>
          <w:rFonts w:asciiTheme="minorHAnsi" w:eastAsia="DeVinne-Italic" w:hAnsiTheme="minorHAnsi"/>
          <w:iCs/>
          <w:sz w:val="36"/>
          <w:szCs w:val="36"/>
        </w:rPr>
        <w:t>group health coverage effective July 1, 2014</w:t>
      </w:r>
      <w:r w:rsidRPr="00B54C3C">
        <w:rPr>
          <w:rFonts w:asciiTheme="minorHAnsi" w:eastAsia="DeVinne-Italic" w:hAnsiTheme="minorHAnsi"/>
          <w:iCs/>
          <w:sz w:val="36"/>
          <w:szCs w:val="36"/>
        </w:rPr>
        <w:t xml:space="preserve">.  </w:t>
      </w:r>
      <w:r w:rsidR="00E440E7">
        <w:rPr>
          <w:rFonts w:asciiTheme="minorHAnsi" w:eastAsia="DeVinne-Italic" w:hAnsiTheme="minorHAnsi"/>
          <w:iCs/>
          <w:sz w:val="36"/>
          <w:szCs w:val="36"/>
        </w:rPr>
        <w:t xml:space="preserve">There is no longer </w:t>
      </w:r>
      <w:proofErr w:type="gramStart"/>
      <w:r w:rsidR="00E440E7">
        <w:rPr>
          <w:rFonts w:asciiTheme="minorHAnsi" w:eastAsia="DeVinne-Italic" w:hAnsiTheme="minorHAnsi"/>
          <w:iCs/>
          <w:sz w:val="36"/>
          <w:szCs w:val="36"/>
        </w:rPr>
        <w:t>an exclusion</w:t>
      </w:r>
      <w:proofErr w:type="gramEnd"/>
      <w:r w:rsidR="00E440E7">
        <w:rPr>
          <w:rFonts w:asciiTheme="minorHAnsi" w:eastAsia="DeVinne-Italic" w:hAnsiTheme="minorHAnsi"/>
          <w:iCs/>
          <w:sz w:val="36"/>
          <w:szCs w:val="36"/>
        </w:rPr>
        <w:t xml:space="preserve"> for those children who had coverage available through their own employer or their spouse’s employer.  </w:t>
      </w:r>
    </w:p>
    <w:p w:rsidR="00E440E7" w:rsidRDefault="00E440E7" w:rsidP="00B54C3C">
      <w:pPr>
        <w:autoSpaceDE w:val="0"/>
        <w:autoSpaceDN w:val="0"/>
        <w:adjustRightInd w:val="0"/>
        <w:jc w:val="center"/>
        <w:rPr>
          <w:rFonts w:asciiTheme="minorHAnsi" w:eastAsia="DeVinne-Italic" w:hAnsiTheme="minorHAnsi"/>
          <w:iCs/>
          <w:sz w:val="36"/>
          <w:szCs w:val="36"/>
        </w:rPr>
      </w:pPr>
    </w:p>
    <w:p w:rsidR="00E440E7" w:rsidRPr="00B54C3C" w:rsidRDefault="00E440E7" w:rsidP="00B54C3C">
      <w:pPr>
        <w:autoSpaceDE w:val="0"/>
        <w:autoSpaceDN w:val="0"/>
        <w:adjustRightInd w:val="0"/>
        <w:jc w:val="center"/>
        <w:rPr>
          <w:rFonts w:asciiTheme="minorHAnsi" w:hAnsiTheme="minorHAnsi" w:cs="Melior"/>
          <w:sz w:val="36"/>
          <w:szCs w:val="36"/>
        </w:rPr>
      </w:pPr>
      <w:r>
        <w:rPr>
          <w:rFonts w:asciiTheme="minorHAnsi" w:eastAsia="DeVinne-Italic" w:hAnsiTheme="minorHAnsi"/>
          <w:iCs/>
          <w:sz w:val="36"/>
          <w:szCs w:val="36"/>
        </w:rPr>
        <w:t xml:space="preserve">Effective July 1, 2014, all children under 26 years of age are eligible for benefits.  Coverage will automatically terminate when the </w:t>
      </w:r>
      <w:r w:rsidR="005B0B7A">
        <w:rPr>
          <w:rFonts w:asciiTheme="minorHAnsi" w:eastAsia="DeVinne-Italic" w:hAnsiTheme="minorHAnsi"/>
          <w:iCs/>
          <w:sz w:val="36"/>
          <w:szCs w:val="36"/>
        </w:rPr>
        <w:t>child reaches the age of 26.</w:t>
      </w:r>
    </w:p>
    <w:p w:rsidR="00B54C3C" w:rsidRDefault="00B54C3C" w:rsidP="00B54C3C">
      <w:pPr>
        <w:jc w:val="center"/>
        <w:rPr>
          <w:rFonts w:asciiTheme="minorHAnsi" w:hAnsiTheme="minorHAnsi"/>
          <w:sz w:val="36"/>
          <w:szCs w:val="36"/>
        </w:rPr>
      </w:pPr>
    </w:p>
    <w:p w:rsidR="00B54C3C" w:rsidRDefault="00B54C3C" w:rsidP="00B54C3C">
      <w:pPr>
        <w:jc w:val="center"/>
        <w:rPr>
          <w:rFonts w:asciiTheme="minorHAnsi" w:hAnsiTheme="minorHAnsi"/>
          <w:sz w:val="36"/>
          <w:szCs w:val="36"/>
        </w:rPr>
      </w:pPr>
    </w:p>
    <w:p w:rsidR="00B54C3C" w:rsidRPr="00B54C3C" w:rsidRDefault="00B54C3C" w:rsidP="00B54C3C">
      <w:pPr>
        <w:jc w:val="center"/>
        <w:rPr>
          <w:rFonts w:asciiTheme="minorHAnsi" w:hAnsiTheme="minorHAnsi"/>
          <w:sz w:val="36"/>
          <w:szCs w:val="36"/>
        </w:rPr>
      </w:pPr>
    </w:p>
    <w:p w:rsidR="00811DDD" w:rsidRPr="00B54C3C" w:rsidRDefault="00811DDD" w:rsidP="00B54C3C">
      <w:pPr>
        <w:jc w:val="center"/>
        <w:rPr>
          <w:rFonts w:asciiTheme="minorHAnsi" w:hAnsiTheme="minorHAnsi"/>
          <w:sz w:val="36"/>
          <w:szCs w:val="36"/>
        </w:rPr>
      </w:pPr>
    </w:p>
    <w:p w:rsidR="00811DDD" w:rsidRPr="00B54C3C" w:rsidRDefault="00811DDD" w:rsidP="00811DDD">
      <w:pPr>
        <w:autoSpaceDE w:val="0"/>
        <w:autoSpaceDN w:val="0"/>
        <w:adjustRightInd w:val="0"/>
        <w:rPr>
          <w:rFonts w:asciiTheme="minorHAnsi" w:eastAsia="DeVinne-Italic" w:hAnsiTheme="minorHAnsi"/>
          <w:iCs/>
        </w:rPr>
      </w:pPr>
    </w:p>
    <w:p w:rsidR="00811DDD" w:rsidRPr="00B54C3C" w:rsidRDefault="00811DDD" w:rsidP="00811DDD">
      <w:pPr>
        <w:autoSpaceDE w:val="0"/>
        <w:autoSpaceDN w:val="0"/>
        <w:adjustRightInd w:val="0"/>
        <w:rPr>
          <w:rFonts w:asciiTheme="minorHAnsi" w:eastAsia="DeVinne-Italic" w:hAnsiTheme="minorHAnsi"/>
          <w:iCs/>
        </w:rPr>
      </w:pPr>
    </w:p>
    <w:p w:rsidR="00811DDD" w:rsidRPr="00B54C3C" w:rsidRDefault="00811DDD" w:rsidP="00D83D81">
      <w:pPr>
        <w:autoSpaceDE w:val="0"/>
        <w:autoSpaceDN w:val="0"/>
        <w:adjustRightInd w:val="0"/>
        <w:rPr>
          <w:rFonts w:asciiTheme="minorHAnsi" w:hAnsiTheme="minorHAnsi" w:cs="Melior"/>
        </w:rPr>
      </w:pPr>
    </w:p>
    <w:sectPr w:rsidR="00811DDD" w:rsidRPr="00B54C3C" w:rsidSect="00AD7A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elior">
    <w:panose1 w:val="00000000000000000000"/>
    <w:charset w:val="00"/>
    <w:family w:val="roman"/>
    <w:notTrueType/>
    <w:pitch w:val="default"/>
    <w:sig w:usb0="00000003" w:usb1="00000000" w:usb2="00000000" w:usb3="00000000" w:csb0="00000001"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049C8"/>
    <w:multiLevelType w:val="hybridMultilevel"/>
    <w:tmpl w:val="05B4029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DE207E9"/>
    <w:multiLevelType w:val="hybridMultilevel"/>
    <w:tmpl w:val="4538CD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81"/>
    <w:rsid w:val="002A7D9E"/>
    <w:rsid w:val="00452CEE"/>
    <w:rsid w:val="0056718C"/>
    <w:rsid w:val="005B0B7A"/>
    <w:rsid w:val="00621EF7"/>
    <w:rsid w:val="00677AE9"/>
    <w:rsid w:val="0070239C"/>
    <w:rsid w:val="00811DDD"/>
    <w:rsid w:val="008E767C"/>
    <w:rsid w:val="00A77C50"/>
    <w:rsid w:val="00AD7A8E"/>
    <w:rsid w:val="00B54C3C"/>
    <w:rsid w:val="00CB740D"/>
    <w:rsid w:val="00CE74BE"/>
    <w:rsid w:val="00D15C90"/>
    <w:rsid w:val="00D2132A"/>
    <w:rsid w:val="00D42918"/>
    <w:rsid w:val="00D54264"/>
    <w:rsid w:val="00D83D81"/>
    <w:rsid w:val="00DF2CF7"/>
    <w:rsid w:val="00E440E7"/>
    <w:rsid w:val="00E8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0239C"/>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0239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Model Language for Notice of Opportunity to Enroll</vt:lpstr>
    </vt:vector>
  </TitlesOfParts>
  <Company>Reschini Agency, Inc.</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Language for Notice of Opportunity to Enroll</dc:title>
  <dc:creator>Tamara A. Mihailovic</dc:creator>
  <cp:lastModifiedBy>Eldridge</cp:lastModifiedBy>
  <cp:revision>2</cp:revision>
  <dcterms:created xsi:type="dcterms:W3CDTF">2014-07-14T10:55:00Z</dcterms:created>
  <dcterms:modified xsi:type="dcterms:W3CDTF">2014-07-14T10:55:00Z</dcterms:modified>
</cp:coreProperties>
</file>